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left="6960" w:right="6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6"/>
          <w:szCs w:val="26"/>
        </w:rPr>
        <w:t>Приложение протоколу от 06.09.2017 № 1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440" w:right="440" w:firstLine="35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Выводы и предложения комиссии по независимой оценке качества общественного совета при министерстве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2" w:lineRule="auto"/>
        <w:ind w:left="1480" w:right="220" w:hanging="1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культуры Новосибирской области по итогам проведения независимой оценки качества оказания услуг организациями культуры Новосибирской области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обсуждения отчета организации – оператора общества с ограниченной ответственностью «Эмпирика» о резу</w:t>
      </w:r>
      <w:r>
        <w:rPr>
          <w:rFonts w:ascii="Times New Roman" w:hAnsi="Times New Roman" w:cs="Times New Roman"/>
          <w:sz w:val="26"/>
          <w:szCs w:val="26"/>
        </w:rPr>
        <w:t>льтатах оказанной услуги по сбору, обработке и анализу информации о 237 организациях культуры Новосибирской области (далее – организации культуры) для проведения независимой оценки качества оказания услуг (далее - НОК) комиссией по независимой оценке качес</w:t>
      </w:r>
      <w:r>
        <w:rPr>
          <w:rFonts w:ascii="Times New Roman" w:hAnsi="Times New Roman" w:cs="Times New Roman"/>
          <w:sz w:val="26"/>
          <w:szCs w:val="26"/>
        </w:rPr>
        <w:t>тва общественного совета при министерстве культуры Новосибирской области (далее – Комиссия НОК) сделаны общие выводы и сформулированы предложения: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Выводы: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Комиссия НОК приняла к сведению информацию, представленную организацией – оператором.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  среднем  интегральный  балл  организаций  культуры  составляет  116,79  из  160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(73,00%).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61"/>
        </w:tabs>
        <w:overflowPunct w:val="0"/>
        <w:autoSpaceDE w:val="0"/>
        <w:autoSpaceDN w:val="0"/>
        <w:adjustRightInd w:val="0"/>
        <w:spacing w:after="0" w:line="236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 (13%) организация культуры получили среднюю интегральную оценку, характеризующую высокую степень соответствия (от 128 до 143 баллов, более 80%): 14 организа</w:t>
      </w:r>
      <w:r>
        <w:rPr>
          <w:rFonts w:ascii="Times New Roman" w:hAnsi="Times New Roman" w:cs="Times New Roman"/>
          <w:sz w:val="26"/>
          <w:szCs w:val="26"/>
        </w:rPr>
        <w:t>ций г. Новосибирска - Зоологический парк имени Ростислава Александровича Шило, парки культуры и отдыха Первомайский, Заельцовский, «Сосновый бор», им. С.М. Кирова, Центральный, «У Обского моря», Драматический театр «На левом берегу», Новосибирский городско</w:t>
      </w:r>
      <w:r>
        <w:rPr>
          <w:rFonts w:ascii="Times New Roman" w:hAnsi="Times New Roman" w:cs="Times New Roman"/>
          <w:sz w:val="26"/>
          <w:szCs w:val="26"/>
        </w:rPr>
        <w:t>й духовой оркестр, Городской центр изобразительных искусств, Молодежный центр «Мир молодежи» Советского района, Центр «Молодежный» Кировского района, Новосибирский городской дом учителя, Городской комплексный центр по организации каникулярного отдыха детей</w:t>
      </w:r>
      <w:r>
        <w:rPr>
          <w:rFonts w:ascii="Times New Roman" w:hAnsi="Times New Roman" w:cs="Times New Roman"/>
          <w:sz w:val="26"/>
          <w:szCs w:val="26"/>
        </w:rPr>
        <w:t xml:space="preserve"> школьного возраста «СОЛО», а так же 17 организаций других муниципальных районов: Городской драматический театр «На окраине» города Карасука, Ордынская централизованная библиотечная система, Половинский, Аксенихинский, Садовский, Орехово-Логовской, Полойск</w:t>
      </w:r>
      <w:r>
        <w:rPr>
          <w:rFonts w:ascii="Times New Roman" w:hAnsi="Times New Roman" w:cs="Times New Roman"/>
          <w:sz w:val="26"/>
          <w:szCs w:val="26"/>
        </w:rPr>
        <w:t>ий, Светловский, Майский культурно-досуговые центры Краснозерского района, учреждения культуры Северотатарского и Киевского сельских советов Татарского района, Купинский районный молодёжный центр, «Урезский муниципальный центр культуры» Венгеровского район</w:t>
      </w:r>
      <w:r>
        <w:rPr>
          <w:rFonts w:ascii="Times New Roman" w:hAnsi="Times New Roman" w:cs="Times New Roman"/>
          <w:sz w:val="26"/>
          <w:szCs w:val="26"/>
        </w:rPr>
        <w:t xml:space="preserve">а, «Досуговый центр Промышленного сельсовета» Искитимского района Гражданцевский сельский дом культуры» Северного района, Суздальский сельский Дом культуры Доволенского района, учреждение «Отдел культуры г. Бердска»;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организация культуры (Социально-</w:t>
      </w:r>
      <w:r>
        <w:rPr>
          <w:rFonts w:ascii="Times New Roman" w:hAnsi="Times New Roman" w:cs="Times New Roman"/>
          <w:sz w:val="26"/>
          <w:szCs w:val="26"/>
        </w:rPr>
        <w:t xml:space="preserve">культурный центр Кулябинского сельсовета Кыштовского района) (получили низкую степень соответствия (73 балла, менее 50%).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1.1.  Рейтинг оценок по критериям следующий: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51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90,36% (18,07 баллов из 20) - «Доброжелательность, вежливость, компетентность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организации культуры», 94,06% организаций культуры получили высокие оценки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3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(80% и более);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56"/>
        </w:tabs>
        <w:overflowPunct w:val="0"/>
        <w:autoSpaceDE w:val="0"/>
        <w:autoSpaceDN w:val="0"/>
        <w:adjustRightInd w:val="0"/>
        <w:spacing w:after="0" w:line="213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86,00% (17,20 баллов из 20) - «Время ожидания предоставления услуги», 88,6% организаций культуры получили высокие оценки (80% и более);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12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75,82%</w:t>
      </w:r>
      <w:r>
        <w:rPr>
          <w:rFonts w:ascii="Times New Roman" w:hAnsi="Times New Roman" w:cs="Times New Roman"/>
          <w:sz w:val="26"/>
          <w:szCs w:val="26"/>
        </w:rPr>
        <w:t xml:space="preserve"> (30,33 балла из 40) - «Удовлетворенность качеством оказания услуг», 30,5% организаций культуры получили высокие оценки (80% и более);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992"/>
        </w:tabs>
        <w:overflowPunct w:val="0"/>
        <w:autoSpaceDE w:val="0"/>
        <w:autoSpaceDN w:val="0"/>
        <w:adjustRightInd w:val="0"/>
        <w:spacing w:after="0" w:line="222" w:lineRule="auto"/>
        <w:ind w:left="0" w:right="2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73,47% (36,73 баллов из 50) «Комфортность условий предоставлений услуг и доступности их получения», 18%</w:t>
      </w:r>
      <w:r>
        <w:rPr>
          <w:rFonts w:ascii="Times New Roman" w:hAnsi="Times New Roman" w:cs="Times New Roman"/>
          <w:sz w:val="26"/>
          <w:szCs w:val="26"/>
        </w:rPr>
        <w:t xml:space="preserve"> организаций культуры получили высокие оценки (80% и более); </w:t>
      </w:r>
    </w:p>
    <w:p w:rsidR="00000000" w:rsidRDefault="00A54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621" w:right="560" w:bottom="817" w:left="560" w:header="720" w:footer="720" w:gutter="0"/>
          <w:cols w:space="720" w:equalWidth="0">
            <w:col w:w="10780"/>
          </w:cols>
          <w:noEndnote/>
        </w:sect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91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ge3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 xml:space="preserve">47,68% (14,30 балла из 30) «Открытость и доступность информации об организации», 3% организаций культуры получили высокие оценки (80% и более).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Боль</w:t>
      </w:r>
      <w:r>
        <w:rPr>
          <w:rFonts w:ascii="Times New Roman" w:hAnsi="Times New Roman" w:cs="Times New Roman"/>
          <w:i/>
          <w:iCs/>
          <w:sz w:val="26"/>
          <w:szCs w:val="26"/>
        </w:rPr>
        <w:t>шинство организаций культуры отмечены высокими оценками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(80%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и более)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показателям соответственно: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22"/>
        </w:tabs>
        <w:overflowPunct w:val="0"/>
        <w:autoSpaceDE w:val="0"/>
        <w:autoSpaceDN w:val="0"/>
        <w:adjustRightInd w:val="0"/>
        <w:spacing w:after="0" w:line="213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95,76% организаций культуры – по показателю «Доброжелательность и вежливость персонала организации культуры»;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94,49% - «</w:t>
      </w:r>
      <w:r>
        <w:rPr>
          <w:rFonts w:ascii="Times New Roman" w:hAnsi="Times New Roman" w:cs="Times New Roman"/>
          <w:sz w:val="26"/>
          <w:szCs w:val="26"/>
        </w:rPr>
        <w:t xml:space="preserve">Компетентность персонала организации культуры»; </w:t>
      </w: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8" w:lineRule="auto"/>
        <w:ind w:left="860" w:hanging="1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91,5% - «Соблюдение режима работы организацией культуры»;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90,7% - «Удобство графика работы организации культуры»;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87,3% - «Соблюдение установленных (заявленных) сроков предоставления услуг орган</w:t>
      </w:r>
      <w:r>
        <w:rPr>
          <w:rFonts w:ascii="Times New Roman" w:hAnsi="Times New Roman" w:cs="Times New Roman"/>
          <w:sz w:val="26"/>
          <w:szCs w:val="26"/>
        </w:rPr>
        <w:t xml:space="preserve">изацией культуры»;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77"/>
        </w:tabs>
        <w:overflowPunct w:val="0"/>
        <w:autoSpaceDE w:val="0"/>
        <w:autoSpaceDN w:val="0"/>
        <w:adjustRightInd w:val="0"/>
        <w:spacing w:after="0" w:line="213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84,7% - «Доступность и актуальность информации о деятельности организации культуры, размещенной на территории организации»;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78,8% - «Общая удовлетворенность качеством оказания услуг организацией культуры»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32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71% - «</w:t>
      </w:r>
      <w:r>
        <w:rPr>
          <w:rFonts w:ascii="Times New Roman" w:hAnsi="Times New Roman" w:cs="Times New Roman"/>
          <w:sz w:val="26"/>
          <w:szCs w:val="26"/>
        </w:rPr>
        <w:t xml:space="preserve">Комфортность условий пребывания в организации культуры Комфортность условий пребывания в организации культуры».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 в целом характеризует положительно организации сферы культуры, при отсутствии достаточных ресурсов.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При этом только 58,5% организаций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культуры отмечены высокими оценками по показателю «Наличие дополнительных услуг и доступность их получения».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Менее половины организаций культуры отмечены высокими оценками по показателям соответственно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10"/>
        </w:tabs>
        <w:overflowPunct w:val="0"/>
        <w:autoSpaceDE w:val="0"/>
        <w:autoSpaceDN w:val="0"/>
        <w:adjustRightInd w:val="0"/>
        <w:spacing w:after="0" w:line="213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31,4% - «</w:t>
      </w:r>
      <w:r>
        <w:rPr>
          <w:rFonts w:ascii="Times New Roman" w:hAnsi="Times New Roman" w:cs="Times New Roman"/>
          <w:sz w:val="26"/>
          <w:szCs w:val="26"/>
        </w:rPr>
        <w:t xml:space="preserve">Удовлетворенность качеством и содержанием полиграфических материалов организации культуры»;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25,8% - «Удовлетворенность качеством и полнотой информации о деятельности организации культуры, размещенной на официальном сайте организации»;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35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21,2% - «Уд</w:t>
      </w:r>
      <w:r>
        <w:rPr>
          <w:rFonts w:ascii="Times New Roman" w:hAnsi="Times New Roman" w:cs="Times New Roman"/>
          <w:sz w:val="26"/>
          <w:szCs w:val="26"/>
        </w:rPr>
        <w:t xml:space="preserve">обство пользования электронными сервисами, предоставляемыми учреждением посетителям (в том числе и с помощью мобильных устройств)»;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970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16% - «Удовлетворенность материально- техническим обеспечением организации культуры»;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79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12,3% - «Наличие общей инфор</w:t>
      </w:r>
      <w:r>
        <w:rPr>
          <w:rFonts w:ascii="Times New Roman" w:hAnsi="Times New Roman" w:cs="Times New Roman"/>
          <w:sz w:val="26"/>
          <w:szCs w:val="26"/>
        </w:rPr>
        <w:t xml:space="preserve">мации об организации культуры на официальном сайте организации культуры в сети «Интернет» в соответствии с приказом № 277»;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898"/>
        </w:tabs>
        <w:overflowPunct w:val="0"/>
        <w:autoSpaceDE w:val="0"/>
        <w:autoSpaceDN w:val="0"/>
        <w:adjustRightInd w:val="0"/>
        <w:spacing w:after="0" w:line="213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1,3% - «Наличие информации о деятельности организации культуры на официальном сайте организации культуры в сети «Интернет»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№ 277».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2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Всего 3 организации культуры отмечены высокими оценками по показателю «Доступность услуг для лиц с ограниченными возможностями здоровья» и 54% организаций получили оценки ниже 50%.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32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отметить, организации о</w:t>
      </w:r>
      <w:r>
        <w:rPr>
          <w:rFonts w:ascii="Times New Roman" w:hAnsi="Times New Roman" w:cs="Times New Roman"/>
          <w:sz w:val="26"/>
          <w:szCs w:val="26"/>
        </w:rPr>
        <w:t xml:space="preserve">тмеченные оценками ниже 50% по следующим критериям соответственно: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- 141 организация (59,7%) – «Открытость и доступности информации об организации»; 4 организации – «Удовлетворенность качеством оказания услуг» (Парк культуры и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отдыха им. И.В.</w:t>
      </w:r>
      <w:r>
        <w:rPr>
          <w:rFonts w:ascii="Times New Roman" w:hAnsi="Times New Roman" w:cs="Times New Roman"/>
          <w:sz w:val="26"/>
          <w:szCs w:val="26"/>
        </w:rPr>
        <w:t xml:space="preserve"> Коротеева города Искитима, «Легостаевский центр досуга» Исктимского района, Центр досуга с.Крутиха и Социально-культурный центр Кулябинского сельсовета Кыштовского района);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5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организации культуры по критерию «Комфортность условий предоставлений услуг</w:t>
      </w:r>
      <w:r>
        <w:rPr>
          <w:rFonts w:ascii="Times New Roman" w:hAnsi="Times New Roman" w:cs="Times New Roman"/>
          <w:sz w:val="26"/>
          <w:szCs w:val="26"/>
        </w:rPr>
        <w:t xml:space="preserve"> и доступности их получения» (Центр досуга с.Крутиха Крутихинского сельсовета и Социально-культурный центр Кулябинского сельсовета Кыштовского района);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22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5% до 7% организаций отмечены оценками ниже 50% по показателям «Удовлетворенность материально</w:t>
      </w:r>
      <w:r>
        <w:rPr>
          <w:rFonts w:ascii="Times New Roman" w:hAnsi="Times New Roman" w:cs="Times New Roman"/>
          <w:sz w:val="26"/>
          <w:szCs w:val="26"/>
        </w:rPr>
        <w:t xml:space="preserve">- техническим обеспечением организации культуры», «Удовлетворенность качеством и полнотой информации о деятельности организации культуры,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21" w:right="560" w:bottom="307" w:left="560" w:header="720" w:footer="720" w:gutter="0"/>
          <w:cols w:space="720" w:equalWidth="0">
            <w:col w:w="10780"/>
          </w:cols>
          <w:noEndnote/>
        </w:sectPr>
      </w:pP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tabs>
          <w:tab w:val="left" w:pos="1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размещенной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6"/>
          <w:szCs w:val="26"/>
        </w:rPr>
        <w:t>на   официальном   сайте   организации»,   «Удовлетворенность   качеством   и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621" w:right="580" w:bottom="307" w:left="560" w:header="720" w:footer="720" w:gutter="0"/>
          <w:cols w:space="720" w:equalWidth="0">
            <w:col w:w="10760"/>
          </w:cols>
          <w:noEndnote/>
        </w:sect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>содержанием полиграфических материалов организации культуры». Больше всего таких организаций культуры в Искитимском и Кыштовском муниципальных районах.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70% до 95% организаций отмечены оценками ниже 50%</w:t>
      </w:r>
      <w:r>
        <w:rPr>
          <w:rFonts w:ascii="Times New Roman" w:hAnsi="Times New Roman" w:cs="Times New Roman"/>
          <w:sz w:val="26"/>
          <w:szCs w:val="26"/>
        </w:rPr>
        <w:t xml:space="preserve"> по показателям «Наличие общей информации об организации культуры на официальном сайте организации культуры в сети «Интернет» в соответствии с приказом № 277» и «Наличие информации о деятельности организации культуры на официальном сайте организации культу</w:t>
      </w:r>
      <w:r>
        <w:rPr>
          <w:rFonts w:ascii="Times New Roman" w:hAnsi="Times New Roman" w:cs="Times New Roman"/>
          <w:sz w:val="26"/>
          <w:szCs w:val="26"/>
        </w:rPr>
        <w:t>ры в сети «Интернет» в соответствии с приказом № 277», информация о которых расположена на сайтах организаций, из них 38,4% организаций культуры не имеют своих сайтов и необходимая информация об этих организациях не размещена на сайтах администраций сельск</w:t>
      </w:r>
      <w:r>
        <w:rPr>
          <w:rFonts w:ascii="Times New Roman" w:hAnsi="Times New Roman" w:cs="Times New Roman"/>
          <w:sz w:val="26"/>
          <w:szCs w:val="26"/>
        </w:rPr>
        <w:t>их поселений или на других сайтах социальной сети: 70% -85% таких организаций в Венгеровском, Убинском, Черепановском районах, 30% - 50% в Купинском, Татарском, районах.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994"/>
        </w:tabs>
        <w:overflowPunct w:val="0"/>
        <w:autoSpaceDE w:val="0"/>
        <w:autoSpaceDN w:val="0"/>
        <w:adjustRightInd w:val="0"/>
        <w:spacing w:after="0" w:line="213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Пожелания и предложения респондентов организациям культуры для улучшения качества</w:t>
      </w:r>
      <w:r>
        <w:rPr>
          <w:rFonts w:ascii="Times New Roman" w:hAnsi="Times New Roman" w:cs="Times New Roman"/>
          <w:sz w:val="26"/>
          <w:szCs w:val="26"/>
        </w:rPr>
        <w:t xml:space="preserve"> оказания услуг: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сельских организациях культуры касаются в основном совершенствования материально-технической базы (замена кресел в зрительном зале, ремонт сцены, наличие костюмов и т.п.), технического оснащения (световое и музыкальное оборудование,</w:t>
      </w:r>
      <w:r>
        <w:rPr>
          <w:rFonts w:ascii="Times New Roman" w:hAnsi="Times New Roman" w:cs="Times New Roman"/>
          <w:sz w:val="26"/>
          <w:szCs w:val="26"/>
        </w:rPr>
        <w:t xml:space="preserve"> кинооборудование, компьютеризация, подключение к Интернет), ремонта зданий, доступности для населения с ограниченными возможностями, кадрового состава (привлечение новых квалифицированных специалистов, молодые кадры), использование различных современных ф</w:t>
      </w:r>
      <w:r>
        <w:rPr>
          <w:rFonts w:ascii="Times New Roman" w:hAnsi="Times New Roman" w:cs="Times New Roman"/>
          <w:sz w:val="26"/>
          <w:szCs w:val="26"/>
        </w:rPr>
        <w:t xml:space="preserve">орм проведения мероприятий, организация детских кружков, студий, творческих клубов по интересам для взрослых и т.п.;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г. Новосибирске спектр пожеланий носит иной характер: так для парков - заблаговременное информирование о проведении мероприятий, рем</w:t>
      </w:r>
      <w:r>
        <w:rPr>
          <w:rFonts w:ascii="Times New Roman" w:hAnsi="Times New Roman" w:cs="Times New Roman"/>
          <w:sz w:val="26"/>
          <w:szCs w:val="26"/>
        </w:rPr>
        <w:t>онт радиоинформирования, установка информационных стендов и указателей, улучшить освещение, обустройство туалетов, подключение беспроводного интернета, установка беседок, мест общественного питания, фотозоны для молодоженов, игровой площадки для детей с ог</w:t>
      </w:r>
      <w:r>
        <w:rPr>
          <w:rFonts w:ascii="Times New Roman" w:hAnsi="Times New Roman" w:cs="Times New Roman"/>
          <w:sz w:val="26"/>
          <w:szCs w:val="26"/>
        </w:rPr>
        <w:t xml:space="preserve">раниченными возможностями и т.п.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1176"/>
        </w:tabs>
        <w:overflowPunct w:val="0"/>
        <w:autoSpaceDE w:val="0"/>
        <w:autoSpaceDN w:val="0"/>
        <w:adjustRightInd w:val="0"/>
        <w:spacing w:after="0" w:line="226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проведенной независимой оценки качества оказания услуг организациями культуры Новосибирской получены результаты, которые показали высокий и средний уровень качества предоставляемых услуг,</w:t>
      </w:r>
      <w:r>
        <w:rPr>
          <w:rFonts w:ascii="Times New Roman" w:hAnsi="Times New Roman" w:cs="Times New Roman"/>
          <w:sz w:val="26"/>
          <w:szCs w:val="26"/>
        </w:rPr>
        <w:t xml:space="preserve"> что подтверждено итоговым рейтингом (прилагается).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Общий уровень удовлетворённости населения качеством услуг, оказываемых организациями культуры по оценкам респондентов можно охарактеризовать как соответствующим в целом спросу и ожиданиям пользователей</w:t>
      </w:r>
      <w:r>
        <w:rPr>
          <w:rFonts w:ascii="Times New Roman" w:hAnsi="Times New Roman" w:cs="Times New Roman"/>
          <w:sz w:val="26"/>
          <w:szCs w:val="26"/>
        </w:rPr>
        <w:t xml:space="preserve"> услуг.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Предложения: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133"/>
        </w:tabs>
        <w:overflowPunct w:val="0"/>
        <w:autoSpaceDE w:val="0"/>
        <w:autoSpaceDN w:val="0"/>
        <w:adjustRightInd w:val="0"/>
        <w:spacing w:after="0" w:line="214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Министерству культуры Новосибирской области довести информацию о результатах независимой оценки качества до органов местного самоуправления. </w:t>
      </w:r>
    </w:p>
    <w:p w:rsidR="00000000" w:rsidRDefault="00A544FB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38" w:lineRule="auto"/>
        <w:ind w:left="1140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Органам местного самоуправления Новосибирской области: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1227"/>
        </w:tabs>
        <w:overflowPunct w:val="0"/>
        <w:autoSpaceDE w:val="0"/>
        <w:autoSpaceDN w:val="0"/>
        <w:adjustRightInd w:val="0"/>
        <w:spacing w:after="0" w:line="229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соответствующие управленческие решения, направленные на повышение качества услуг по каждой организации культуры, включая совершенствование материально-технической базы, обеспечение доступности услуг в сфере культуры для населения с ограниченными во</w:t>
      </w:r>
      <w:r>
        <w:rPr>
          <w:rFonts w:ascii="Times New Roman" w:hAnsi="Times New Roman" w:cs="Times New Roman"/>
          <w:sz w:val="26"/>
          <w:szCs w:val="26"/>
        </w:rPr>
        <w:t xml:space="preserve">зможностями, открытости и доступности информации о предоставлении услуг;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A544FB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1219"/>
        </w:tabs>
        <w:overflowPunct w:val="0"/>
        <w:autoSpaceDE w:val="0"/>
        <w:autoSpaceDN w:val="0"/>
        <w:adjustRightInd w:val="0"/>
        <w:spacing w:after="0" w:line="227" w:lineRule="auto"/>
        <w:ind w:left="0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довести до руководителей организаций культуры результаты независимой оценки качества и предложения, подготовленные по результатам независимой оценки, в адрес каждой организаци</w:t>
      </w:r>
      <w:r>
        <w:rPr>
          <w:rFonts w:ascii="Times New Roman" w:hAnsi="Times New Roman" w:cs="Times New Roman"/>
          <w:sz w:val="26"/>
          <w:szCs w:val="26"/>
        </w:rPr>
        <w:t xml:space="preserve">и, для принятия соответствующих управленческих решений, направленных на улучшение качества услуг. 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A544FB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3. Организациям культуры разработать и утвердить планы улучшения качества оказания услуг с учетом результатов независимой оценки качества по критериям, пока</w:t>
      </w:r>
      <w:r>
        <w:rPr>
          <w:rFonts w:ascii="Times New Roman" w:hAnsi="Times New Roman" w:cs="Times New Roman"/>
          <w:sz w:val="26"/>
          <w:szCs w:val="26"/>
        </w:rPr>
        <w:t>зателям, актуальных предложений респондентов.</w:t>
      </w:r>
    </w:p>
    <w:p w:rsidR="00000000" w:rsidRDefault="00A544F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621" w:right="560" w:bottom="697" w:left="560" w:header="720" w:footer="720" w:gutter="0"/>
      <w:cols w:space="720" w:equalWidth="0">
        <w:col w:w="107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4FB"/>
    <w:rsid w:val="00A5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1501</ap:Words>
  <ap:Characters>8556</ap:Characters>
  <ap:Application/>
  <ap:DocSecurity>4</ap:DocSecurity>
  <ap:Lines>71</ap:Lines>
  <ap:Paragraphs>20</ap:Paragraphs>
  <ap:ScaleCrop>false</ap:ScaleCrop>
  <ap:Company/>
  <ap:LinksUpToDate>false</ap:LinksUpToDate>
  <ap:CharactersWithSpaces>10037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2017-10-05T06:33:00Z</dcterms:created>
  <dcterms:modified xsi:type="dcterms:W3CDTF">2017-10-05T06:33:00Z</dcterms:modified>
</cp:coreProperties>
</file>